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0C9E39" w14:textId="77777777" w:rsidR="008542DB" w:rsidRDefault="008542DB" w:rsidP="008542DB">
      <w:pPr>
        <w:spacing w:line="480" w:lineRule="auto"/>
        <w:ind w:firstLine="720"/>
        <w:jc w:val="center"/>
        <w:rPr>
          <w:rFonts w:ascii="Times New Roman" w:hAnsi="Times New Roman" w:cs="Times New Roman"/>
          <w:sz w:val="24"/>
          <w:szCs w:val="24"/>
        </w:rPr>
      </w:pPr>
    </w:p>
    <w:p w14:paraId="29FD092D" w14:textId="77777777" w:rsidR="008542DB" w:rsidRDefault="008542DB" w:rsidP="008542DB">
      <w:pPr>
        <w:spacing w:line="480" w:lineRule="auto"/>
        <w:ind w:firstLine="720"/>
        <w:jc w:val="center"/>
        <w:rPr>
          <w:rFonts w:ascii="Times New Roman" w:hAnsi="Times New Roman" w:cs="Times New Roman"/>
          <w:sz w:val="24"/>
          <w:szCs w:val="24"/>
        </w:rPr>
      </w:pPr>
    </w:p>
    <w:p w14:paraId="53000690" w14:textId="77777777" w:rsidR="008542DB" w:rsidRDefault="008542DB" w:rsidP="008542DB">
      <w:pPr>
        <w:spacing w:line="480" w:lineRule="auto"/>
        <w:ind w:firstLine="720"/>
        <w:jc w:val="center"/>
        <w:rPr>
          <w:rFonts w:ascii="Times New Roman" w:hAnsi="Times New Roman" w:cs="Times New Roman"/>
          <w:sz w:val="24"/>
          <w:szCs w:val="24"/>
        </w:rPr>
      </w:pPr>
    </w:p>
    <w:p w14:paraId="330B3ABC" w14:textId="6B55BB51" w:rsidR="008542DB" w:rsidRPr="008542DB" w:rsidRDefault="008542DB" w:rsidP="008542DB">
      <w:pPr>
        <w:spacing w:line="480" w:lineRule="auto"/>
        <w:ind w:firstLine="720"/>
        <w:jc w:val="center"/>
        <w:rPr>
          <w:rFonts w:ascii="Times New Roman" w:hAnsi="Times New Roman" w:cs="Times New Roman"/>
          <w:b/>
          <w:bCs/>
          <w:sz w:val="24"/>
          <w:szCs w:val="24"/>
        </w:rPr>
      </w:pPr>
      <w:r w:rsidRPr="008542DB">
        <w:rPr>
          <w:rFonts w:ascii="Times New Roman" w:hAnsi="Times New Roman" w:cs="Times New Roman"/>
          <w:b/>
          <w:bCs/>
          <w:sz w:val="24"/>
          <w:szCs w:val="24"/>
        </w:rPr>
        <w:t>Reformation Europe</w:t>
      </w:r>
    </w:p>
    <w:p w14:paraId="2262548C" w14:textId="5A490D31" w:rsidR="008542DB" w:rsidRDefault="008542DB" w:rsidP="008542D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3F8C05EA" w14:textId="3BB31083" w:rsidR="008542DB" w:rsidRDefault="008542DB" w:rsidP="008542D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14:paraId="32E76F3E" w14:textId="77777777" w:rsidR="008542DB" w:rsidRDefault="008542DB" w:rsidP="008542DB">
      <w:pPr>
        <w:spacing w:line="480" w:lineRule="auto"/>
        <w:ind w:firstLine="720"/>
        <w:rPr>
          <w:rFonts w:ascii="Times New Roman" w:hAnsi="Times New Roman" w:cs="Times New Roman"/>
          <w:sz w:val="24"/>
          <w:szCs w:val="24"/>
        </w:rPr>
      </w:pPr>
    </w:p>
    <w:p w14:paraId="5F527189" w14:textId="77777777" w:rsidR="008542DB" w:rsidRDefault="008542DB" w:rsidP="008542DB">
      <w:pPr>
        <w:spacing w:line="480" w:lineRule="auto"/>
        <w:ind w:firstLine="720"/>
        <w:rPr>
          <w:rFonts w:ascii="Times New Roman" w:hAnsi="Times New Roman" w:cs="Times New Roman"/>
          <w:sz w:val="24"/>
          <w:szCs w:val="24"/>
        </w:rPr>
      </w:pPr>
    </w:p>
    <w:p w14:paraId="71B2073C" w14:textId="77777777" w:rsidR="008542DB" w:rsidRDefault="008542DB" w:rsidP="008542DB">
      <w:pPr>
        <w:spacing w:line="480" w:lineRule="auto"/>
        <w:ind w:firstLine="720"/>
        <w:rPr>
          <w:rFonts w:ascii="Times New Roman" w:hAnsi="Times New Roman" w:cs="Times New Roman"/>
          <w:sz w:val="24"/>
          <w:szCs w:val="24"/>
        </w:rPr>
      </w:pPr>
    </w:p>
    <w:p w14:paraId="1FC53860" w14:textId="77777777" w:rsidR="008542DB" w:rsidRDefault="008542DB" w:rsidP="008542DB">
      <w:pPr>
        <w:spacing w:line="480" w:lineRule="auto"/>
        <w:ind w:firstLine="720"/>
        <w:rPr>
          <w:rFonts w:ascii="Times New Roman" w:hAnsi="Times New Roman" w:cs="Times New Roman"/>
          <w:sz w:val="24"/>
          <w:szCs w:val="24"/>
        </w:rPr>
      </w:pPr>
    </w:p>
    <w:p w14:paraId="4DF8DDC5" w14:textId="77777777" w:rsidR="008542DB" w:rsidRDefault="008542DB" w:rsidP="008542DB">
      <w:pPr>
        <w:spacing w:line="480" w:lineRule="auto"/>
        <w:ind w:firstLine="720"/>
        <w:rPr>
          <w:rFonts w:ascii="Times New Roman" w:hAnsi="Times New Roman" w:cs="Times New Roman"/>
          <w:sz w:val="24"/>
          <w:szCs w:val="24"/>
        </w:rPr>
      </w:pPr>
    </w:p>
    <w:p w14:paraId="1D1A8D92" w14:textId="77777777" w:rsidR="008542DB" w:rsidRDefault="008542DB" w:rsidP="008542DB">
      <w:pPr>
        <w:spacing w:line="480" w:lineRule="auto"/>
        <w:ind w:firstLine="720"/>
        <w:rPr>
          <w:rFonts w:ascii="Times New Roman" w:hAnsi="Times New Roman" w:cs="Times New Roman"/>
          <w:sz w:val="24"/>
          <w:szCs w:val="24"/>
        </w:rPr>
      </w:pPr>
    </w:p>
    <w:p w14:paraId="4473DAC2" w14:textId="77777777" w:rsidR="008542DB" w:rsidRDefault="008542DB" w:rsidP="008542DB">
      <w:pPr>
        <w:spacing w:line="480" w:lineRule="auto"/>
        <w:ind w:firstLine="720"/>
        <w:rPr>
          <w:rFonts w:ascii="Times New Roman" w:hAnsi="Times New Roman" w:cs="Times New Roman"/>
          <w:sz w:val="24"/>
          <w:szCs w:val="24"/>
        </w:rPr>
      </w:pPr>
    </w:p>
    <w:p w14:paraId="1CDCB6C7" w14:textId="77777777" w:rsidR="008542DB" w:rsidRDefault="008542DB" w:rsidP="008542DB">
      <w:pPr>
        <w:spacing w:line="480" w:lineRule="auto"/>
        <w:ind w:firstLine="720"/>
        <w:rPr>
          <w:rFonts w:ascii="Times New Roman" w:hAnsi="Times New Roman" w:cs="Times New Roman"/>
          <w:sz w:val="24"/>
          <w:szCs w:val="24"/>
        </w:rPr>
      </w:pPr>
    </w:p>
    <w:p w14:paraId="2EE10FCB" w14:textId="77777777" w:rsidR="008542DB" w:rsidRDefault="008542DB" w:rsidP="008542DB">
      <w:pPr>
        <w:spacing w:line="480" w:lineRule="auto"/>
        <w:ind w:firstLine="720"/>
        <w:rPr>
          <w:rFonts w:ascii="Times New Roman" w:hAnsi="Times New Roman" w:cs="Times New Roman"/>
          <w:sz w:val="24"/>
          <w:szCs w:val="24"/>
        </w:rPr>
      </w:pPr>
    </w:p>
    <w:p w14:paraId="09B99405" w14:textId="77777777" w:rsidR="008542DB" w:rsidRDefault="008542DB" w:rsidP="008542DB">
      <w:pPr>
        <w:spacing w:line="480" w:lineRule="auto"/>
        <w:ind w:firstLine="720"/>
        <w:rPr>
          <w:rFonts w:ascii="Times New Roman" w:hAnsi="Times New Roman" w:cs="Times New Roman"/>
          <w:sz w:val="24"/>
          <w:szCs w:val="24"/>
        </w:rPr>
      </w:pPr>
    </w:p>
    <w:p w14:paraId="6B9E7A3C" w14:textId="4308B122" w:rsidR="008542DB" w:rsidRDefault="008542DB" w:rsidP="008542DB">
      <w:pPr>
        <w:spacing w:line="480" w:lineRule="auto"/>
        <w:rPr>
          <w:rFonts w:ascii="Times New Roman" w:hAnsi="Times New Roman" w:cs="Times New Roman"/>
          <w:sz w:val="24"/>
          <w:szCs w:val="24"/>
        </w:rPr>
      </w:pPr>
    </w:p>
    <w:p w14:paraId="3F8031A1" w14:textId="77777777" w:rsidR="008542DB" w:rsidRDefault="008542DB" w:rsidP="008542DB">
      <w:pPr>
        <w:spacing w:line="480" w:lineRule="auto"/>
        <w:rPr>
          <w:rFonts w:ascii="Times New Roman" w:hAnsi="Times New Roman" w:cs="Times New Roman"/>
          <w:sz w:val="24"/>
          <w:szCs w:val="24"/>
        </w:rPr>
      </w:pPr>
    </w:p>
    <w:p w14:paraId="2A8ED101" w14:textId="55FD25C2" w:rsidR="00412416"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lastRenderedPageBreak/>
        <w:t>The protestant Reformation was the sixteenth centur</w:t>
      </w:r>
      <w:r w:rsidR="001B0D22" w:rsidRPr="008542DB">
        <w:rPr>
          <w:rFonts w:ascii="Times New Roman" w:hAnsi="Times New Roman" w:cs="Times New Roman"/>
          <w:sz w:val="24"/>
          <w:szCs w:val="24"/>
        </w:rPr>
        <w:t>y</w:t>
      </w:r>
      <w:r w:rsidRPr="008542DB">
        <w:rPr>
          <w:rFonts w:ascii="Times New Roman" w:hAnsi="Times New Roman" w:cs="Times New Roman"/>
          <w:sz w:val="24"/>
          <w:szCs w:val="24"/>
        </w:rPr>
        <w:t xml:space="preserve"> cultural, political, intellectual, and religious upheaval that splintered the Catholic church in Europe by establishing the beliefs and structures that could provide a definition of the continent in the modern state. In Central and Northern Europe, the reformers such as John Calvin, Henry VIII, and Martin Luther questioned and challenged the Pope's authority and the ability of the Catholic Church to define the practice of Christianity. They asserted that for political and religious power, redistribution into the Bible hands and the pamphlets reading princes and pastors. The disruption influenced persecutions, wars, and the counter-Reformatio</w:t>
      </w:r>
      <w:r w:rsidR="00E20548" w:rsidRPr="008542DB">
        <w:rPr>
          <w:rFonts w:ascii="Times New Roman" w:hAnsi="Times New Roman" w:cs="Times New Roman"/>
          <w:sz w:val="24"/>
          <w:szCs w:val="24"/>
        </w:rPr>
        <w:t>n. The catholic church delayed, although there it provided a forceful response to the protestants.</w:t>
      </w:r>
    </w:p>
    <w:p w14:paraId="43F4D2FA" w14:textId="77777777" w:rsidR="00A32135"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 xml:space="preserve">As a result, it geared the questions on how possible was the protestant Reformation to originate from a mall city in Saxony, Wittenberg, which was regarded as a mud hole by the contemporaries. Additionally, how could an individual hailing from a humble background and scared deeply by the devil convince persons that thatPopee was a living Antichrist and all of a sudden rise to be a charismatic leader? Religion was established by Martin Luther, which up to date, influences the lives of most people. The same applied to applied later after one generation in Geneva by Jean Calvin. The author of Reformation Europe highlights the two tantalizing aspects incorporating evidence from the rich material culture of the specific period, together with the illustrations </w:t>
      </w:r>
      <w:r w:rsidR="001B0D22" w:rsidRPr="008542DB">
        <w:rPr>
          <w:rFonts w:ascii="Times New Roman" w:hAnsi="Times New Roman" w:cs="Times New Roman"/>
          <w:sz w:val="24"/>
          <w:szCs w:val="24"/>
        </w:rPr>
        <w:t>of wealth and analyses the existence of Reformation Europe.</w:t>
      </w:r>
    </w:p>
    <w:p w14:paraId="224EA2D4" w14:textId="77777777" w:rsidR="007335B6"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Reformation Europe by Ulinka Rublack’s provides clear limelight for the reformation history of new understanding through the application of new cultural history.</w:t>
      </w:r>
      <w:r w:rsidR="00360F73" w:rsidRPr="008542DB">
        <w:rPr>
          <w:rFonts w:ascii="Times New Roman" w:hAnsi="Times New Roman" w:cs="Times New Roman"/>
          <w:sz w:val="24"/>
          <w:szCs w:val="24"/>
        </w:rPr>
        <w:t xml:space="preserve"> Off late, Reformation proves to be a lasting concept, especially when analyzing the culture and religion changing patterns. When framing the book, the author considers the needs of the </w:t>
      </w:r>
      <w:r w:rsidR="003F2C61" w:rsidRPr="008542DB">
        <w:rPr>
          <w:rFonts w:ascii="Times New Roman" w:hAnsi="Times New Roman" w:cs="Times New Roman"/>
          <w:sz w:val="24"/>
          <w:szCs w:val="24"/>
        </w:rPr>
        <w:t xml:space="preserve">audience student by providing a detailed and accessible account of the Reformation. Much of the book </w:t>
      </w:r>
      <w:r w:rsidR="003F2C61" w:rsidRPr="008542DB">
        <w:rPr>
          <w:rFonts w:ascii="Times New Roman" w:hAnsi="Times New Roman" w:cs="Times New Roman"/>
          <w:sz w:val="24"/>
          <w:szCs w:val="24"/>
        </w:rPr>
        <w:lastRenderedPageBreak/>
        <w:t xml:space="preserve">focus, therefore, is the critical personalities. It then demonstrates their perceptions about the church and God and how the ideas were transmitted and their reception. </w:t>
      </w:r>
      <w:r w:rsidRPr="008542DB">
        <w:rPr>
          <w:rFonts w:ascii="Times New Roman" w:hAnsi="Times New Roman" w:cs="Times New Roman"/>
          <w:sz w:val="24"/>
          <w:szCs w:val="24"/>
        </w:rPr>
        <w:t xml:space="preserve">Starting with Luther, a clear perception is adopted, spreading out to incorporate a wide character's range, including Bucer and Zwingli, before turning Calvin's attention. The author then focuses on popular Protestant beliefs considering Reformation's cultural history. </w:t>
      </w:r>
    </w:p>
    <w:p w14:paraId="3DC968F8" w14:textId="77777777" w:rsidR="003F620D"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 xml:space="preserve">The book is categorized into four topics and an epilogue and prologue. The prologue provides a brief introduction to the politics and world perceptions of the sixteenth century. Rublack uses the woodcut by Lukas Cranach to reestablish the visual language by Luther and accustom the reader to the individuals who applied similar incentives against the Roman Catholic church and the Pope. Rublack briefly explains the religious world perception of this particular time, noting that to the contemporaries, the supernatural and the natural world were interconnected and offered </w:t>
      </w:r>
      <w:r w:rsidR="00E50F9E" w:rsidRPr="008542DB">
        <w:rPr>
          <w:rFonts w:ascii="Times New Roman" w:hAnsi="Times New Roman" w:cs="Times New Roman"/>
          <w:sz w:val="24"/>
          <w:szCs w:val="24"/>
        </w:rPr>
        <w:t xml:space="preserve">brief introductions to the histographical interpretations and the European politics of the Reformation. </w:t>
      </w:r>
    </w:p>
    <w:p w14:paraId="72CCD6A5" w14:textId="57C3943E" w:rsidR="006D2651"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Much of the attention is focused on the happening activities in the Empire. However, the book also spreads its attention commendably around Europe's Reformation breadth from Central Europe to Atlantic Isles. However, the text does not incorporate any essential coverage on the Reformation of Catholicism.</w:t>
      </w:r>
      <w:r w:rsidR="00125448" w:rsidRPr="008542DB">
        <w:rPr>
          <w:rFonts w:ascii="Times New Roman" w:hAnsi="Times New Roman" w:cs="Times New Roman"/>
          <w:sz w:val="24"/>
          <w:szCs w:val="24"/>
        </w:rPr>
        <w:t xml:space="preserve"> The author highlights two important questions. First is how Cavin and Luther, who currently seem to surprise individuals in various aspects, can gain the influence and the meaning of their truths or rather religion for the person's everyday life. She answered that Cavin Cavin and Luther were surely </w:t>
      </w:r>
      <w:r w:rsidR="008542DB" w:rsidRPr="008542DB">
        <w:rPr>
          <w:rFonts w:ascii="Times New Roman" w:hAnsi="Times New Roman" w:cs="Times New Roman"/>
          <w:sz w:val="24"/>
          <w:szCs w:val="24"/>
        </w:rPr>
        <w:t>highly</w:t>
      </w:r>
      <w:r w:rsidR="00125448" w:rsidRPr="008542DB">
        <w:rPr>
          <w:rFonts w:ascii="Times New Roman" w:hAnsi="Times New Roman" w:cs="Times New Roman"/>
          <w:sz w:val="24"/>
          <w:szCs w:val="24"/>
        </w:rPr>
        <w:t xml:space="preserve"> efficient team workers, institutional and human resources managers, and group leaders</w:t>
      </w:r>
      <w:r w:rsidR="00360F73" w:rsidRPr="008542DB">
        <w:rPr>
          <w:rFonts w:ascii="Times New Roman" w:hAnsi="Times New Roman" w:cs="Times New Roman"/>
          <w:sz w:val="24"/>
          <w:szCs w:val="24"/>
        </w:rPr>
        <w:t>. Cavin and Luther's second reason for this influence is that ProteProtestantismd not be categorized as rational and more modern despite the common assumptions.</w:t>
      </w:r>
      <w:r w:rsidRPr="008542DB">
        <w:rPr>
          <w:rFonts w:ascii="Times New Roman" w:hAnsi="Times New Roman" w:cs="Times New Roman"/>
          <w:sz w:val="24"/>
          <w:szCs w:val="24"/>
        </w:rPr>
        <w:t xml:space="preserve"> This implies that </w:t>
      </w:r>
      <w:r w:rsidR="005740F9" w:rsidRPr="008542DB">
        <w:rPr>
          <w:rFonts w:ascii="Times New Roman" w:hAnsi="Times New Roman" w:cs="Times New Roman"/>
          <w:sz w:val="24"/>
          <w:szCs w:val="24"/>
        </w:rPr>
        <w:t xml:space="preserve">getting clear know-how of the Calvinism and Lutheranism </w:t>
      </w:r>
      <w:r w:rsidR="005740F9" w:rsidRPr="008542DB">
        <w:rPr>
          <w:rFonts w:ascii="Times New Roman" w:hAnsi="Times New Roman" w:cs="Times New Roman"/>
          <w:sz w:val="24"/>
          <w:szCs w:val="24"/>
        </w:rPr>
        <w:lastRenderedPageBreak/>
        <w:t>success requires specific places analysis where the reformers carried their activities and the resources and institutions that these reformers were capable of mobilizing in supporting their agenda. Rublack notes that for understanding the culture and social significance of Protestantism, it must be availed to the correct early modern mentalities other than only being depicted solely as a contributor to the world's disenhancement or even being linked with the spread of liberal democracy and capitalism.</w:t>
      </w:r>
    </w:p>
    <w:p w14:paraId="37536F01" w14:textId="77777777" w:rsidR="00EF2B33"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The story starts with Wittenberg and Luther.</w:t>
      </w:r>
      <w:r w:rsidR="008F4C6A" w:rsidRPr="008542DB">
        <w:rPr>
          <w:rFonts w:ascii="Times New Roman" w:hAnsi="Times New Roman" w:cs="Times New Roman"/>
          <w:sz w:val="24"/>
          <w:szCs w:val="24"/>
        </w:rPr>
        <w:t xml:space="preserve"> The book describes Luther's key concepts, and his preferred communication means through debates that are well controlled, sermons, through visual images and printed words. The author notes that it was the efficient ways through which Luther, together with his allies Melanchthon and Cranach, dispersed their truths, which enhanced them in catalyzing the existing ventures on reforming the society and the church in the Empire and beyond. The Reformation movement is then described as </w:t>
      </w:r>
      <w:r w:rsidR="00BF12EE" w:rsidRPr="008542DB">
        <w:rPr>
          <w:rFonts w:ascii="Times New Roman" w:hAnsi="Times New Roman" w:cs="Times New Roman"/>
          <w:sz w:val="24"/>
          <w:szCs w:val="24"/>
        </w:rPr>
        <w:t>it expands in various contexts through the individual's actions, such as the projection of a ritual reform and urgent moral vision in Zurich by Zwingli. Nonetheless, the attention turns to Calvin's complex character and his self-view as a prophet of honesty and integrity whose aim and the objective was to exemplify sober, temperate, and godly behavior.</w:t>
      </w:r>
    </w:p>
    <w:p w14:paraId="16D644F8" w14:textId="77777777" w:rsidR="00BF12EE"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 xml:space="preserve">However, the summarization of the reformed religion is not an easy task. Rublack, therefore, starts with Geneva and </w:t>
      </w:r>
      <w:r w:rsidR="00311F15" w:rsidRPr="008542DB">
        <w:rPr>
          <w:rFonts w:ascii="Times New Roman" w:hAnsi="Times New Roman" w:cs="Times New Roman"/>
          <w:sz w:val="24"/>
          <w:szCs w:val="24"/>
        </w:rPr>
        <w:t>Calvin and then considers how reformed religion obtained the increasingly international character through correspondence, print, and exiles. All the reformed European roads are not absolutely presented as starting at Calvin's door in Geneva. There is some Emden role coverage in the development of the dutch reformed church.</w:t>
      </w:r>
    </w:p>
    <w:p w14:paraId="35209C23" w14:textId="77777777" w:rsidR="00E50F9E"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 xml:space="preserve">The first Chapter keeps Luther in his context of the Wittenberg. The focus implies that the well conversant and Luther's life off told details before Wittenberg's brief mention. Rather, </w:t>
      </w:r>
      <w:r w:rsidRPr="008542DB">
        <w:rPr>
          <w:rFonts w:ascii="Times New Roman" w:hAnsi="Times New Roman" w:cs="Times New Roman"/>
          <w:sz w:val="24"/>
          <w:szCs w:val="24"/>
        </w:rPr>
        <w:lastRenderedPageBreak/>
        <w:t xml:space="preserve">the Chapter dwells Luther as </w:t>
      </w:r>
      <w:r w:rsidR="00AD451A" w:rsidRPr="008542DB">
        <w:rPr>
          <w:rFonts w:ascii="Times New Roman" w:hAnsi="Times New Roman" w:cs="Times New Roman"/>
          <w:sz w:val="24"/>
          <w:szCs w:val="24"/>
        </w:rPr>
        <w:t xml:space="preserve">the professor at Wittenberg controlling the appointments of the University, teaching students, and offering mentorship to the junior faculty. The author emphasizes the interactions between Luther and the civic community and describes him negotiating interactions with the German princes, significant individuals of Saxony household Elector, and the townspeople during the peasant's war. She notes that the sixteenth century's male friendship patterns </w:t>
      </w:r>
      <w:r w:rsidR="00A5040E" w:rsidRPr="008542DB">
        <w:rPr>
          <w:rFonts w:ascii="Times New Roman" w:hAnsi="Times New Roman" w:cs="Times New Roman"/>
          <w:sz w:val="24"/>
          <w:szCs w:val="24"/>
        </w:rPr>
        <w:t>affirmed the influence of Luther over those he came into contact with. Therefore, they were a major determinant in spreading his ideas within his immediate circumference and beyond.</w:t>
      </w:r>
    </w:p>
    <w:p w14:paraId="3F12AD7A" w14:textId="77777777" w:rsidR="00A5040E"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 xml:space="preserve">For accounting for the Lutheranism spread across Wittenberg, Rublack points to the </w:t>
      </w:r>
      <w:r w:rsidR="005438A6" w:rsidRPr="008542DB">
        <w:rPr>
          <w:rFonts w:ascii="Times New Roman" w:hAnsi="Times New Roman" w:cs="Times New Roman"/>
          <w:sz w:val="24"/>
          <w:szCs w:val="24"/>
        </w:rPr>
        <w:t xml:space="preserve">Wittenberg graduates' created networks who came with them as they had appointments around Europe. Finally, the author turns to the printing issue in the Reformation. She also describes the importance of religious conversations like the 1959 Leipzig Disputation. Although most scholars perceive that the benefiting of ProteProtestantismresulted from the new technology of printing, Rublack urges the readers to consider what this implies in the sixteenth century. </w:t>
      </w:r>
    </w:p>
    <w:p w14:paraId="4A95F517" w14:textId="77777777" w:rsidR="005438A6"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 xml:space="preserve">The second Chapter </w:t>
      </w:r>
      <w:r w:rsidR="003A38E4" w:rsidRPr="008542DB">
        <w:rPr>
          <w:rFonts w:ascii="Times New Roman" w:hAnsi="Times New Roman" w:cs="Times New Roman"/>
          <w:sz w:val="24"/>
          <w:szCs w:val="24"/>
        </w:rPr>
        <w:t xml:space="preserve">considers five persons in showing the critical answers range to Luther. Several failed to adopt his doctrines outright while others adapted to the </w:t>
      </w:r>
      <w:proofErr w:type="gramStart"/>
      <w:r w:rsidR="003A38E4" w:rsidRPr="008542DB">
        <w:rPr>
          <w:rFonts w:ascii="Times New Roman" w:hAnsi="Times New Roman" w:cs="Times New Roman"/>
          <w:sz w:val="24"/>
          <w:szCs w:val="24"/>
        </w:rPr>
        <w:t>ideas</w:t>
      </w:r>
      <w:proofErr w:type="gramEnd"/>
      <w:r w:rsidR="003A38E4" w:rsidRPr="008542DB">
        <w:rPr>
          <w:rFonts w:ascii="Times New Roman" w:hAnsi="Times New Roman" w:cs="Times New Roman"/>
          <w:sz w:val="24"/>
          <w:szCs w:val="24"/>
        </w:rPr>
        <w:t xml:space="preserve"> they found essential, although they never shifted from the Roman Catholic Church. There also existed those who took the ideas by Luther in totally diverse directions. Additionally, the Chapter incorporates general and brief descriptions of Reformation in Eastern and Southern Europe, Scandinavia, England, and France. The third Chapter, Calvinism, is much similar </w:t>
      </w:r>
      <w:r w:rsidR="00385F5C" w:rsidRPr="008542DB">
        <w:rPr>
          <w:rFonts w:ascii="Times New Roman" w:hAnsi="Times New Roman" w:cs="Times New Roman"/>
          <w:sz w:val="24"/>
          <w:szCs w:val="24"/>
        </w:rPr>
        <w:t>to the first Chapter trying to have Calvin into the self Genevan context. The book highlights that Calvin, unlike Luther, had to include religious refugees.</w:t>
      </w:r>
    </w:p>
    <w:p w14:paraId="75E8500A" w14:textId="77777777" w:rsidR="005438A6" w:rsidRPr="008542DB" w:rsidRDefault="00385F5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lastRenderedPageBreak/>
        <w:t>Additionally, he lacked institutional and intellectual support offered by a university from home. Rather, Calvin provided his ProteProtestantismhe council of Geneva to solve the political challenges and secure social order. Rublack, however, decided not to proceed with the Lutheranism discussion after the death of Luther in the first Chapter. Still, in this case, she goes past Calvin's lifespan to incorporate Theodore Beza, the successor of Calvin.</w:t>
      </w:r>
    </w:p>
    <w:p w14:paraId="6C5383EB" w14:textId="77777777" w:rsidR="00385F5C"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 xml:space="preserve">The final Chapter describes the position of the writer that ProteProtestantismd is not a </w:t>
      </w:r>
      <w:r w:rsidR="00F85C69" w:rsidRPr="008542DB">
        <w:rPr>
          <w:rFonts w:ascii="Times New Roman" w:hAnsi="Times New Roman" w:cs="Times New Roman"/>
          <w:sz w:val="24"/>
          <w:szCs w:val="24"/>
        </w:rPr>
        <w:t>more modern and rational religion. She maximumly utilizes the sermons, material culture, saint stories, the martyrs, and even the protestant clergy appearance to portray that the sixteenth and seventeenth centuries was a religion that was filled with emotions such as the punishments by God anxieties, the urge to describe why there existed a lot of suffering and the deeply felt desire for salvation to every individual as well as the life changes and life intensely individual emotions.</w:t>
      </w:r>
    </w:p>
    <w:p w14:paraId="5AF8CAFA" w14:textId="77777777" w:rsidR="00291AC6"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 xml:space="preserve">The book turns the </w:t>
      </w:r>
      <w:r w:rsidR="00AA7441" w:rsidRPr="008542DB">
        <w:rPr>
          <w:rFonts w:ascii="Times New Roman" w:hAnsi="Times New Roman" w:cs="Times New Roman"/>
          <w:sz w:val="24"/>
          <w:szCs w:val="24"/>
        </w:rPr>
        <w:t xml:space="preserve">Protestantism effects on the ordinary churchgoers. Through social, political, and institutional strategies, the leading reformers could sustain their true notions. The book highlights how the protestant reformers vernacular language was immersed </w:t>
      </w:r>
      <w:r w:rsidR="008507A7" w:rsidRPr="008542DB">
        <w:rPr>
          <w:rFonts w:ascii="Times New Roman" w:hAnsi="Times New Roman" w:cs="Times New Roman"/>
          <w:sz w:val="24"/>
          <w:szCs w:val="24"/>
        </w:rPr>
        <w:t xml:space="preserve">through printed texts, sermons, catechism classes, prayer, and hymns in the conversant vocabulary. This also incorporated the church buildings' structure material culture. However, the way the ordinary people understood the words of protestants and how the words could have been interpreted and appropriated for daily application is therefore challenging to describe. Therefore, the book points to a range of interesting highlights for testing Protestantism's popular success and explaining the responsibility of discipline, education, and the </w:t>
      </w:r>
      <w:r w:rsidR="00F96553" w:rsidRPr="008542DB">
        <w:rPr>
          <w:rFonts w:ascii="Times New Roman" w:hAnsi="Times New Roman" w:cs="Times New Roman"/>
          <w:sz w:val="24"/>
          <w:szCs w:val="24"/>
        </w:rPr>
        <w:t>clergy that was remodeled together with their wives in the protestant culture emerging forms.</w:t>
      </w:r>
    </w:p>
    <w:p w14:paraId="158FB55C" w14:textId="77777777" w:rsidR="00F96553" w:rsidRPr="008542DB"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lastRenderedPageBreak/>
        <w:t>Reformation Europe book finalizes with a brief discussion of new techniques for studying the summary and Reformation of critical aspects of the text. Therefore, it becomes evident that the current Northern Ireland conflict and disagreements depict that religious allegiance still has the capability to influence European politics. Allusions of the kind to Northern Ireland enda</w:t>
      </w:r>
      <w:r w:rsidR="00972879" w:rsidRPr="008542DB">
        <w:rPr>
          <w:rFonts w:ascii="Times New Roman" w:hAnsi="Times New Roman" w:cs="Times New Roman"/>
          <w:sz w:val="24"/>
          <w:szCs w:val="24"/>
        </w:rPr>
        <w:t>n</w:t>
      </w:r>
      <w:r w:rsidRPr="008542DB">
        <w:rPr>
          <w:rFonts w:ascii="Times New Roman" w:hAnsi="Times New Roman" w:cs="Times New Roman"/>
          <w:sz w:val="24"/>
          <w:szCs w:val="24"/>
        </w:rPr>
        <w:t>gers</w:t>
      </w:r>
      <w:r w:rsidR="00972879" w:rsidRPr="008542DB">
        <w:rPr>
          <w:rFonts w:ascii="Times New Roman" w:hAnsi="Times New Roman" w:cs="Times New Roman"/>
          <w:sz w:val="24"/>
          <w:szCs w:val="24"/>
        </w:rPr>
        <w:t xml:space="preserve"> proposing to the ill-informed the specifically pre-modern and apparently fixed nature of its society and politics. Thus, the book is far from alone between the modern historians of the ancient time in declaring the contemporary importance of the Reformation Europe religious passions by establishing simplistic and vague references to Northern Ireland. However, references of the kind only hinder any wide variety of real appreciation of how the loyalties of religion still influence society and politics across various parts of Europe. </w:t>
      </w:r>
    </w:p>
    <w:p w14:paraId="452D4A69" w14:textId="443948FF" w:rsidR="00972879" w:rsidRDefault="00D0479C" w:rsidP="008542DB">
      <w:pPr>
        <w:spacing w:line="480" w:lineRule="auto"/>
        <w:ind w:firstLine="720"/>
        <w:rPr>
          <w:rFonts w:ascii="Times New Roman" w:hAnsi="Times New Roman" w:cs="Times New Roman"/>
          <w:sz w:val="24"/>
          <w:szCs w:val="24"/>
        </w:rPr>
      </w:pPr>
      <w:r w:rsidRPr="008542DB">
        <w:rPr>
          <w:rFonts w:ascii="Times New Roman" w:hAnsi="Times New Roman" w:cs="Times New Roman"/>
          <w:sz w:val="24"/>
          <w:szCs w:val="24"/>
        </w:rPr>
        <w:t xml:space="preserve">Most students and readers will likely get the book as easy and appreciate the unavailability of detailed and complex theological discussions and descriptions. For example, specifically, in the fourth Chapter with its daily life sections, it will engage a number of students since it is fascinating. However, the book also lacks clear descriptions of various critical terms. For instance, the author clear differences between the German elector and the German prince. </w:t>
      </w:r>
    </w:p>
    <w:p w14:paraId="64B22AE9" w14:textId="22252967" w:rsidR="00EE5D40" w:rsidRDefault="00EE5D40" w:rsidP="008542DB">
      <w:pPr>
        <w:spacing w:line="480" w:lineRule="auto"/>
        <w:ind w:firstLine="720"/>
        <w:rPr>
          <w:rFonts w:ascii="Times New Roman" w:hAnsi="Times New Roman" w:cs="Times New Roman"/>
          <w:sz w:val="24"/>
          <w:szCs w:val="24"/>
        </w:rPr>
      </w:pPr>
    </w:p>
    <w:p w14:paraId="06B21875" w14:textId="7960F147" w:rsidR="00EE5D40" w:rsidRDefault="00EE5D40" w:rsidP="008542DB">
      <w:pPr>
        <w:spacing w:line="480" w:lineRule="auto"/>
        <w:ind w:firstLine="720"/>
        <w:rPr>
          <w:rFonts w:ascii="Times New Roman" w:hAnsi="Times New Roman" w:cs="Times New Roman"/>
          <w:sz w:val="24"/>
          <w:szCs w:val="24"/>
        </w:rPr>
      </w:pPr>
    </w:p>
    <w:p w14:paraId="17153A84" w14:textId="24728809" w:rsidR="00EE5D40" w:rsidRDefault="00EE5D40" w:rsidP="008542DB">
      <w:pPr>
        <w:spacing w:line="480" w:lineRule="auto"/>
        <w:ind w:firstLine="720"/>
        <w:rPr>
          <w:rFonts w:ascii="Times New Roman" w:hAnsi="Times New Roman" w:cs="Times New Roman"/>
          <w:sz w:val="24"/>
          <w:szCs w:val="24"/>
        </w:rPr>
      </w:pPr>
    </w:p>
    <w:p w14:paraId="58D98FF1" w14:textId="2D74061D" w:rsidR="00EE5D40" w:rsidRDefault="00EE5D40" w:rsidP="008542DB">
      <w:pPr>
        <w:spacing w:line="480" w:lineRule="auto"/>
        <w:ind w:firstLine="720"/>
        <w:rPr>
          <w:rFonts w:ascii="Times New Roman" w:hAnsi="Times New Roman" w:cs="Times New Roman"/>
          <w:sz w:val="24"/>
          <w:szCs w:val="24"/>
        </w:rPr>
      </w:pPr>
    </w:p>
    <w:p w14:paraId="571B6026" w14:textId="504474EF" w:rsidR="00EE5D40" w:rsidRDefault="00EE5D40" w:rsidP="008542DB">
      <w:pPr>
        <w:spacing w:line="480" w:lineRule="auto"/>
        <w:ind w:firstLine="720"/>
        <w:rPr>
          <w:rFonts w:ascii="Times New Roman" w:hAnsi="Times New Roman" w:cs="Times New Roman"/>
          <w:sz w:val="24"/>
          <w:szCs w:val="24"/>
        </w:rPr>
      </w:pPr>
    </w:p>
    <w:p w14:paraId="6D46DA93" w14:textId="523C2CDE" w:rsidR="00EE5D40" w:rsidRDefault="00EE5D40" w:rsidP="008542DB">
      <w:pPr>
        <w:spacing w:line="480" w:lineRule="auto"/>
        <w:ind w:firstLine="720"/>
        <w:rPr>
          <w:rFonts w:ascii="Times New Roman" w:hAnsi="Times New Roman" w:cs="Times New Roman"/>
          <w:sz w:val="24"/>
          <w:szCs w:val="24"/>
        </w:rPr>
      </w:pPr>
    </w:p>
    <w:p w14:paraId="7AB59B0B" w14:textId="40E2F177" w:rsidR="00EE5D40" w:rsidRDefault="00EE5D40" w:rsidP="00EE5D4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1116F286" w14:textId="4B7E8CB6" w:rsidR="00EE5D40" w:rsidRPr="008542DB" w:rsidRDefault="00EE5D40" w:rsidP="00EE5D40">
      <w:pPr>
        <w:spacing w:line="480" w:lineRule="auto"/>
        <w:rPr>
          <w:rFonts w:ascii="Times New Roman" w:hAnsi="Times New Roman" w:cs="Times New Roman"/>
          <w:sz w:val="24"/>
          <w:szCs w:val="24"/>
        </w:rPr>
      </w:pPr>
      <w:proofErr w:type="spellStart"/>
      <w:r w:rsidRPr="00EE5D40">
        <w:rPr>
          <w:rFonts w:ascii="Times New Roman" w:hAnsi="Times New Roman" w:cs="Times New Roman"/>
          <w:sz w:val="24"/>
          <w:szCs w:val="24"/>
        </w:rPr>
        <w:t>Rublack</w:t>
      </w:r>
      <w:proofErr w:type="spellEnd"/>
      <w:r w:rsidRPr="00EE5D40">
        <w:rPr>
          <w:rFonts w:ascii="Times New Roman" w:hAnsi="Times New Roman" w:cs="Times New Roman"/>
          <w:sz w:val="24"/>
          <w:szCs w:val="24"/>
        </w:rPr>
        <w:t>, U. (2017). Reformation Europe (Vol. 54). Cambridge University Press.</w:t>
      </w:r>
    </w:p>
    <w:sectPr w:rsidR="00EE5D40" w:rsidRPr="008542DB" w:rsidSect="008542D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23425B" w14:textId="77777777" w:rsidR="00C4247D" w:rsidRDefault="00C4247D" w:rsidP="008542DB">
      <w:pPr>
        <w:spacing w:after="0" w:line="240" w:lineRule="auto"/>
      </w:pPr>
      <w:r>
        <w:separator/>
      </w:r>
    </w:p>
  </w:endnote>
  <w:endnote w:type="continuationSeparator" w:id="0">
    <w:p w14:paraId="701558F1" w14:textId="77777777" w:rsidR="00C4247D" w:rsidRDefault="00C4247D" w:rsidP="00854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C51AC5" w14:textId="77777777" w:rsidR="00C4247D" w:rsidRDefault="00C4247D" w:rsidP="008542DB">
      <w:pPr>
        <w:spacing w:after="0" w:line="240" w:lineRule="auto"/>
      </w:pPr>
      <w:r>
        <w:separator/>
      </w:r>
    </w:p>
  </w:footnote>
  <w:footnote w:type="continuationSeparator" w:id="0">
    <w:p w14:paraId="1EFF1D74" w14:textId="77777777" w:rsidR="00C4247D" w:rsidRDefault="00C4247D" w:rsidP="008542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9076700"/>
      <w:docPartObj>
        <w:docPartGallery w:val="Page Numbers (Top of Page)"/>
        <w:docPartUnique/>
      </w:docPartObj>
    </w:sdtPr>
    <w:sdtEndPr>
      <w:rPr>
        <w:noProof/>
      </w:rPr>
    </w:sdtEndPr>
    <w:sdtContent>
      <w:p w14:paraId="1F8F4911" w14:textId="47851C11" w:rsidR="008542DB" w:rsidRDefault="008542DB">
        <w:pPr>
          <w:pStyle w:val="Header"/>
          <w:jc w:val="right"/>
        </w:pPr>
        <w:r w:rsidRPr="008542DB">
          <w:rPr>
            <w:rFonts w:ascii="Times New Roman" w:hAnsi="Times New Roman" w:cs="Times New Roman"/>
            <w:sz w:val="24"/>
            <w:szCs w:val="24"/>
          </w:rPr>
          <w:t>REFORMATION EUROPE.</w:t>
        </w:r>
        <w:r>
          <w:tab/>
        </w:r>
        <w:r>
          <w:tab/>
        </w:r>
        <w:r>
          <w:fldChar w:fldCharType="begin"/>
        </w:r>
        <w:r>
          <w:instrText xml:space="preserve"> PAGE   \* MERGEFORMAT </w:instrText>
        </w:r>
        <w:r>
          <w:fldChar w:fldCharType="separate"/>
        </w:r>
        <w:r>
          <w:rPr>
            <w:noProof/>
          </w:rPr>
          <w:t>2</w:t>
        </w:r>
        <w:r>
          <w:rPr>
            <w:noProof/>
          </w:rPr>
          <w:fldChar w:fldCharType="end"/>
        </w:r>
      </w:p>
    </w:sdtContent>
  </w:sdt>
  <w:p w14:paraId="504FC3CB" w14:textId="77777777" w:rsidR="008542DB" w:rsidRDefault="00854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558E83" w14:textId="3374B1FC" w:rsidR="008542DB" w:rsidRDefault="008542DB">
    <w:pPr>
      <w:pStyle w:val="Header"/>
      <w:jc w:val="right"/>
    </w:pPr>
    <w:r w:rsidRPr="008542DB">
      <w:rPr>
        <w:rFonts w:ascii="Times New Roman" w:hAnsi="Times New Roman" w:cs="Times New Roman"/>
        <w:sz w:val="24"/>
        <w:szCs w:val="24"/>
      </w:rPr>
      <w:t>Running Head: REFORMATION EUROPE.</w:t>
    </w:r>
    <w:r>
      <w:tab/>
    </w:r>
    <w:r>
      <w:tab/>
    </w:r>
    <w:sdt>
      <w:sdtPr>
        <w:id w:val="-2847372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16D620D" w14:textId="77777777" w:rsidR="008542DB" w:rsidRDefault="008542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448"/>
    <w:rsid w:val="00125448"/>
    <w:rsid w:val="001B0D22"/>
    <w:rsid w:val="00284A4E"/>
    <w:rsid w:val="00291AC6"/>
    <w:rsid w:val="00311F15"/>
    <w:rsid w:val="00360F73"/>
    <w:rsid w:val="00385F5C"/>
    <w:rsid w:val="003A38E4"/>
    <w:rsid w:val="003F2C61"/>
    <w:rsid w:val="003F620D"/>
    <w:rsid w:val="00412416"/>
    <w:rsid w:val="005438A6"/>
    <w:rsid w:val="005740F9"/>
    <w:rsid w:val="00683881"/>
    <w:rsid w:val="006D2651"/>
    <w:rsid w:val="006F7A38"/>
    <w:rsid w:val="007335B6"/>
    <w:rsid w:val="008507A7"/>
    <w:rsid w:val="008542DB"/>
    <w:rsid w:val="008F4C6A"/>
    <w:rsid w:val="00972879"/>
    <w:rsid w:val="00A32135"/>
    <w:rsid w:val="00A5040E"/>
    <w:rsid w:val="00AA7441"/>
    <w:rsid w:val="00AD451A"/>
    <w:rsid w:val="00BF12EE"/>
    <w:rsid w:val="00C4247D"/>
    <w:rsid w:val="00D0479C"/>
    <w:rsid w:val="00E20548"/>
    <w:rsid w:val="00E50F9E"/>
    <w:rsid w:val="00EE5D40"/>
    <w:rsid w:val="00EF2B33"/>
    <w:rsid w:val="00F85C69"/>
    <w:rsid w:val="00F96553"/>
    <w:rsid w:val="00FD2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60834"/>
  <w15:chartTrackingRefBased/>
  <w15:docId w15:val="{1315D34C-FA82-49D7-8540-F689BBD7C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42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2DB"/>
  </w:style>
  <w:style w:type="paragraph" w:styleId="Footer">
    <w:name w:val="footer"/>
    <w:basedOn w:val="Normal"/>
    <w:link w:val="FooterChar"/>
    <w:uiPriority w:val="99"/>
    <w:unhideWhenUsed/>
    <w:rsid w:val="008542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1720</Words>
  <Characters>9810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2020-11-11T10:44:00Z</dcterms:created>
  <dcterms:modified xsi:type="dcterms:W3CDTF">2020-11-11T10:54:00Z</dcterms:modified>
</cp:coreProperties>
</file>